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A3BB2" w14:textId="66952523" w:rsidR="00ED6386" w:rsidRPr="00703E4B" w:rsidRDefault="00ED6386" w:rsidP="00ED6386">
      <w:pPr>
        <w:pBdr>
          <w:bottom w:val="single" w:sz="4" w:space="1" w:color="auto"/>
        </w:pBdr>
        <w:tabs>
          <w:tab w:val="right" w:pos="9214"/>
        </w:tabs>
        <w:spacing w:after="0"/>
        <w:jc w:val="both"/>
        <w:rPr>
          <w:rFonts w:ascii="Arial" w:eastAsia="MS Mincho" w:hAnsi="Arial" w:cs="Arial"/>
          <w:b/>
          <w:sz w:val="24"/>
          <w:szCs w:val="24"/>
          <w:lang w:eastAsia="ja-JP"/>
        </w:rPr>
      </w:pPr>
      <w:r w:rsidRPr="00703E4B">
        <w:rPr>
          <w:rFonts w:ascii="Arial" w:eastAsia="MS Mincho" w:hAnsi="Arial" w:cs="Arial"/>
          <w:b/>
          <w:sz w:val="24"/>
          <w:szCs w:val="24"/>
          <w:lang w:eastAsia="ja-JP"/>
        </w:rPr>
        <w:t>3GPP TSG-SA WG1 Meeting #10</w:t>
      </w:r>
      <w:r>
        <w:rPr>
          <w:rFonts w:ascii="Arial" w:eastAsia="MS Mincho" w:hAnsi="Arial" w:cs="Arial"/>
          <w:b/>
          <w:sz w:val="24"/>
          <w:szCs w:val="24"/>
          <w:lang w:eastAsia="ja-JP"/>
        </w:rPr>
        <w:t>9</w:t>
      </w:r>
      <w:r w:rsidRPr="00703E4B">
        <w:rPr>
          <w:rFonts w:ascii="Arial" w:eastAsia="MS Mincho" w:hAnsi="Arial" w:cs="Arial"/>
          <w:b/>
          <w:sz w:val="24"/>
          <w:szCs w:val="24"/>
          <w:lang w:eastAsia="ja-JP"/>
        </w:rPr>
        <w:tab/>
      </w:r>
      <w:r>
        <w:rPr>
          <w:rFonts w:ascii="Arial" w:eastAsia="MS Mincho" w:hAnsi="Arial" w:cs="Arial"/>
          <w:b/>
          <w:sz w:val="24"/>
          <w:szCs w:val="24"/>
          <w:lang w:eastAsia="ja-JP"/>
        </w:rPr>
        <w:t>S1-2</w:t>
      </w:r>
      <w:r w:rsidR="00606A37">
        <w:rPr>
          <w:rFonts w:ascii="Arial" w:eastAsia="MS Mincho" w:hAnsi="Arial" w:cs="Arial"/>
          <w:b/>
          <w:sz w:val="24"/>
          <w:szCs w:val="24"/>
          <w:lang w:eastAsia="ja-JP"/>
        </w:rPr>
        <w:t>52098</w:t>
      </w:r>
    </w:p>
    <w:p w14:paraId="7BD10AC8" w14:textId="048B215A" w:rsidR="00ED6386" w:rsidRPr="000D6532" w:rsidRDefault="00ED6386" w:rsidP="00ED6386">
      <w:pPr>
        <w:pBdr>
          <w:bottom w:val="single" w:sz="4" w:space="1" w:color="auto"/>
        </w:pBdr>
        <w:tabs>
          <w:tab w:val="right" w:pos="9214"/>
        </w:tabs>
        <w:spacing w:after="0"/>
        <w:jc w:val="both"/>
        <w:rPr>
          <w:rFonts w:ascii="Arial" w:eastAsia="MS Mincho" w:hAnsi="Arial" w:cs="Arial"/>
          <w:b/>
          <w:sz w:val="24"/>
          <w:szCs w:val="24"/>
          <w:lang w:eastAsia="ja-JP"/>
        </w:rPr>
      </w:pPr>
      <w:r w:rsidRPr="00F116B0">
        <w:rPr>
          <w:rFonts w:ascii="Arial" w:eastAsia="MS Mincho" w:hAnsi="Arial" w:cs="Arial"/>
          <w:b/>
          <w:sz w:val="24"/>
          <w:szCs w:val="24"/>
          <w:lang w:eastAsia="ja-JP"/>
        </w:rPr>
        <w:t>Athens, Greece, 17-21 February 2025</w:t>
      </w:r>
      <w:r w:rsidRPr="001C332D">
        <w:rPr>
          <w:rFonts w:ascii="Arial" w:eastAsia="MS Mincho" w:hAnsi="Arial" w:cs="Arial"/>
          <w:b/>
          <w:sz w:val="24"/>
          <w:szCs w:val="24"/>
          <w:lang w:eastAsia="ja-JP"/>
        </w:rPr>
        <w:tab/>
      </w:r>
      <w:r w:rsidR="0003750A" w:rsidRPr="001C332D">
        <w:rPr>
          <w:rFonts w:ascii="Arial" w:eastAsia="MS Mincho" w:hAnsi="Arial" w:cs="Arial"/>
          <w:i/>
          <w:sz w:val="24"/>
          <w:szCs w:val="24"/>
          <w:lang w:eastAsia="ja-JP"/>
        </w:rPr>
        <w:t>(</w:t>
      </w:r>
      <w:r w:rsidR="0003750A">
        <w:rPr>
          <w:rFonts w:ascii="Arial" w:eastAsia="MS Mincho" w:hAnsi="Arial" w:cs="Arial"/>
          <w:i/>
          <w:sz w:val="24"/>
          <w:szCs w:val="24"/>
          <w:lang w:eastAsia="ja-JP"/>
        </w:rPr>
        <w:t>R</w:t>
      </w:r>
      <w:r w:rsidR="0003750A" w:rsidRPr="001C332D">
        <w:rPr>
          <w:rFonts w:ascii="Arial" w:eastAsia="MS Mincho" w:hAnsi="Arial" w:cs="Arial"/>
          <w:i/>
          <w:sz w:val="24"/>
          <w:szCs w:val="24"/>
          <w:lang w:eastAsia="ja-JP"/>
        </w:rPr>
        <w:t>evision of S1-</w:t>
      </w:r>
      <w:r w:rsidR="0003750A">
        <w:rPr>
          <w:rFonts w:ascii="Arial" w:eastAsia="MS Mincho" w:hAnsi="Arial" w:cs="Arial"/>
          <w:b/>
          <w:sz w:val="24"/>
          <w:szCs w:val="24"/>
          <w:lang w:eastAsia="ja-JP"/>
        </w:rPr>
        <w:t>250233</w:t>
      </w:r>
      <w:r w:rsidR="0003750A">
        <w:rPr>
          <w:rFonts w:ascii="Arial" w:hAnsi="Arial" w:cs="Arial"/>
          <w:i/>
          <w:sz w:val="24"/>
          <w:szCs w:val="24"/>
          <w:lang w:eastAsia="zh-CN"/>
        </w:rPr>
        <w:t>)</w:t>
      </w:r>
    </w:p>
    <w:p w14:paraId="1D9782CF" w14:textId="77777777" w:rsidR="00ED6386" w:rsidRPr="000D6532" w:rsidRDefault="00ED6386" w:rsidP="00ED6386">
      <w:pPr>
        <w:spacing w:after="0"/>
        <w:rPr>
          <w:rFonts w:ascii="Arial" w:eastAsia="MS Mincho" w:hAnsi="Arial"/>
          <w:sz w:val="24"/>
          <w:szCs w:val="24"/>
          <w:lang w:eastAsia="ja-JP"/>
        </w:rPr>
      </w:pPr>
    </w:p>
    <w:p w14:paraId="58820542" w14:textId="77777777" w:rsidR="00ED6386" w:rsidRPr="00BE3811" w:rsidRDefault="00ED6386" w:rsidP="00ED6386">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bookmarkStart w:id="0" w:name="_Hlk125706049"/>
      <w:r>
        <w:rPr>
          <w:rFonts w:ascii="Arial" w:eastAsia="SimSun" w:hAnsi="Arial"/>
          <w:sz w:val="24"/>
          <w:szCs w:val="24"/>
          <w:lang w:eastAsia="en-GB"/>
        </w:rPr>
        <w:tab/>
        <w:t>Energy control support on slice level</w:t>
      </w:r>
    </w:p>
    <w:bookmarkEnd w:id="0"/>
    <w:p w14:paraId="0F108873" w14:textId="1B60C4BE" w:rsidR="00ED6386" w:rsidRPr="00BE3811" w:rsidRDefault="00ED6386" w:rsidP="00ED6386">
      <w:pPr>
        <w:tabs>
          <w:tab w:val="left" w:pos="1701"/>
        </w:tabs>
        <w:overflowPunct w:val="0"/>
        <w:autoSpaceDE w:val="0"/>
        <w:autoSpaceDN w:val="0"/>
        <w:adjustRightInd w:val="0"/>
        <w:textAlignment w:val="baseline"/>
        <w:rPr>
          <w:rFonts w:ascii="Arial" w:eastAsia="SimSun" w:hAnsi="Arial"/>
          <w:sz w:val="24"/>
          <w:szCs w:val="24"/>
          <w:lang w:eastAsia="en-GB"/>
        </w:rPr>
      </w:pPr>
      <w:r w:rsidRPr="00BE3811">
        <w:rPr>
          <w:rFonts w:ascii="Arial" w:eastAsia="SimSun" w:hAnsi="Arial"/>
          <w:sz w:val="24"/>
          <w:szCs w:val="24"/>
          <w:lang w:eastAsia="en-GB"/>
        </w:rPr>
        <w:t>Agenda Item:</w:t>
      </w:r>
      <w:r w:rsidRPr="00BE3811">
        <w:rPr>
          <w:rFonts w:ascii="Arial" w:eastAsia="SimSun" w:hAnsi="Arial"/>
          <w:sz w:val="24"/>
          <w:szCs w:val="24"/>
          <w:lang w:eastAsia="en-GB"/>
        </w:rPr>
        <w:tab/>
      </w:r>
      <w:r w:rsidR="00A2338F">
        <w:rPr>
          <w:rFonts w:ascii="Arial" w:eastAsia="SimSun" w:hAnsi="Arial"/>
          <w:sz w:val="24"/>
          <w:szCs w:val="24"/>
          <w:lang w:eastAsia="en-GB"/>
        </w:rPr>
        <w:t>8.1.</w:t>
      </w:r>
      <w:r w:rsidR="002364B4">
        <w:rPr>
          <w:rFonts w:ascii="Arial" w:eastAsia="SimSun" w:hAnsi="Arial"/>
          <w:sz w:val="24"/>
          <w:szCs w:val="24"/>
          <w:lang w:eastAsia="en-GB"/>
        </w:rPr>
        <w:t>2</w:t>
      </w:r>
      <w:r>
        <w:rPr>
          <w:rFonts w:ascii="Arial" w:eastAsia="SimSun" w:hAnsi="Arial"/>
          <w:sz w:val="24"/>
          <w:szCs w:val="24"/>
          <w:lang w:eastAsia="en-GB"/>
        </w:rPr>
        <w:t xml:space="preserve"> System and Operational Aspects</w:t>
      </w:r>
    </w:p>
    <w:p w14:paraId="084F6498" w14:textId="2F39005E" w:rsidR="00ED6386" w:rsidRPr="00BE3811" w:rsidRDefault="00ED6386" w:rsidP="00ED6386">
      <w:pPr>
        <w:tabs>
          <w:tab w:val="left" w:pos="1701"/>
        </w:tabs>
        <w:overflowPunct w:val="0"/>
        <w:autoSpaceDE w:val="0"/>
        <w:autoSpaceDN w:val="0"/>
        <w:adjustRightInd w:val="0"/>
        <w:textAlignment w:val="baseline"/>
        <w:rPr>
          <w:rFonts w:ascii="Arial" w:eastAsia="SimSun" w:hAnsi="Arial"/>
          <w:sz w:val="24"/>
          <w:szCs w:val="24"/>
          <w:lang w:eastAsia="en-GB"/>
        </w:rPr>
      </w:pPr>
      <w:r w:rsidRPr="00BE3811">
        <w:rPr>
          <w:rFonts w:ascii="Arial" w:eastAsia="SimSun" w:hAnsi="Arial"/>
          <w:sz w:val="24"/>
          <w:szCs w:val="24"/>
          <w:lang w:eastAsia="en-GB"/>
        </w:rPr>
        <w:t>Source:</w:t>
      </w:r>
      <w:r w:rsidRPr="00BE3811">
        <w:rPr>
          <w:rFonts w:ascii="Arial" w:eastAsia="SimSun" w:hAnsi="Arial"/>
          <w:sz w:val="24"/>
          <w:szCs w:val="24"/>
          <w:lang w:eastAsia="en-GB"/>
        </w:rPr>
        <w:tab/>
      </w:r>
      <w:r w:rsidR="00100BC2">
        <w:rPr>
          <w:rFonts w:ascii="Arial" w:eastAsia="SimSun" w:hAnsi="Arial"/>
          <w:sz w:val="24"/>
          <w:szCs w:val="24"/>
          <w:lang w:eastAsia="en-GB"/>
        </w:rPr>
        <w:t>IIT</w:t>
      </w:r>
      <w:r w:rsidRPr="00BE3811">
        <w:rPr>
          <w:rFonts w:ascii="Arial" w:eastAsia="SimSun" w:hAnsi="Arial"/>
          <w:sz w:val="24"/>
          <w:szCs w:val="24"/>
          <w:lang w:eastAsia="en-GB"/>
        </w:rPr>
        <w:t xml:space="preserve"> Bombay</w:t>
      </w:r>
    </w:p>
    <w:p w14:paraId="68D2D343" w14:textId="2272B8C8" w:rsidR="00ED6386" w:rsidRPr="00BE3811" w:rsidRDefault="00ED6386" w:rsidP="00ED6386">
      <w:pPr>
        <w:tabs>
          <w:tab w:val="left" w:pos="1701"/>
        </w:tabs>
        <w:overflowPunct w:val="0"/>
        <w:autoSpaceDE w:val="0"/>
        <w:autoSpaceDN w:val="0"/>
        <w:adjustRightInd w:val="0"/>
        <w:textAlignment w:val="baseline"/>
        <w:rPr>
          <w:rFonts w:ascii="Arial" w:eastAsia="SimSun" w:hAnsi="Arial"/>
          <w:sz w:val="24"/>
          <w:szCs w:val="24"/>
          <w:lang w:eastAsia="en-GB"/>
        </w:rPr>
      </w:pPr>
      <w:r w:rsidRPr="00BE3811">
        <w:rPr>
          <w:rFonts w:ascii="Arial" w:eastAsia="SimSun" w:hAnsi="Arial"/>
          <w:sz w:val="24"/>
          <w:szCs w:val="24"/>
          <w:lang w:eastAsia="en-GB"/>
        </w:rPr>
        <w:t>Contact:</w:t>
      </w:r>
      <w:r w:rsidRPr="00BE3811">
        <w:rPr>
          <w:rFonts w:ascii="Arial" w:eastAsia="SimSun" w:hAnsi="Arial"/>
          <w:sz w:val="24"/>
          <w:szCs w:val="24"/>
          <w:lang w:eastAsia="en-GB"/>
        </w:rPr>
        <w:tab/>
      </w:r>
      <w:r w:rsidR="00100BC2">
        <w:rPr>
          <w:rFonts w:ascii="Arial" w:eastAsia="SimSun" w:hAnsi="Arial"/>
          <w:sz w:val="24"/>
          <w:szCs w:val="24"/>
          <w:lang w:eastAsia="en-GB"/>
        </w:rPr>
        <w:t>Preksha Shah (</w:t>
      </w:r>
      <w:r w:rsidRPr="00BE3811">
        <w:rPr>
          <w:rFonts w:ascii="Arial" w:eastAsia="SimSun" w:hAnsi="Arial"/>
          <w:sz w:val="24"/>
          <w:szCs w:val="24"/>
          <w:lang w:eastAsia="en-GB"/>
        </w:rPr>
        <w:t>30005100@iitb.ac.in</w:t>
      </w:r>
      <w:r w:rsidR="00100BC2">
        <w:rPr>
          <w:rFonts w:ascii="Arial" w:eastAsia="SimSun" w:hAnsi="Arial"/>
          <w:sz w:val="24"/>
          <w:szCs w:val="24"/>
          <w:lang w:eastAsia="en-GB"/>
        </w:rPr>
        <w:t>)</w:t>
      </w:r>
    </w:p>
    <w:p w14:paraId="7AFFAC72" w14:textId="77777777" w:rsidR="00ED6386" w:rsidRPr="00BE3811" w:rsidRDefault="00ED6386" w:rsidP="00ED6386">
      <w:pPr>
        <w:pBdr>
          <w:bottom w:val="single" w:sz="6" w:space="1" w:color="auto"/>
        </w:pBdr>
        <w:spacing w:after="0"/>
        <w:rPr>
          <w:rFonts w:eastAsia="MS Mincho"/>
          <w:sz w:val="24"/>
          <w:szCs w:val="24"/>
          <w:lang w:eastAsia="ja-JP"/>
        </w:rPr>
      </w:pPr>
    </w:p>
    <w:p w14:paraId="2A486286" w14:textId="40907609" w:rsidR="00ED6386" w:rsidRDefault="00ED6386" w:rsidP="00ED6386">
      <w:pPr>
        <w:spacing w:before="240" w:after="240"/>
        <w:jc w:val="both"/>
        <w:rPr>
          <w:rFonts w:ascii="Arial" w:hAnsi="Arial" w:cs="Arial"/>
          <w:i/>
          <w:iCs/>
          <w:sz w:val="22"/>
          <w:szCs w:val="22"/>
        </w:rPr>
      </w:pPr>
      <w:r w:rsidRPr="00BE3811">
        <w:rPr>
          <w:rFonts w:ascii="Arial" w:eastAsia="Calibri" w:hAnsi="Arial" w:cs="Arial"/>
          <w:i/>
          <w:sz w:val="22"/>
          <w:szCs w:val="22"/>
        </w:rPr>
        <w:t xml:space="preserve">Abstract: </w:t>
      </w:r>
      <w:r w:rsidRPr="00BE3811">
        <w:rPr>
          <w:rFonts w:ascii="Arial" w:hAnsi="Arial" w:cs="Arial"/>
          <w:i/>
          <w:iCs/>
          <w:sz w:val="22"/>
          <w:szCs w:val="22"/>
        </w:rPr>
        <w:t xml:space="preserve">This document proposes a use case along with requirements </w:t>
      </w:r>
      <w:r>
        <w:rPr>
          <w:rFonts w:ascii="Arial" w:hAnsi="Arial" w:cs="Arial"/>
          <w:i/>
          <w:iCs/>
          <w:sz w:val="22"/>
          <w:szCs w:val="22"/>
        </w:rPr>
        <w:t>for energy control support on slice level.</w:t>
      </w:r>
    </w:p>
    <w:p w14:paraId="010D1143" w14:textId="314BF7D3" w:rsidR="009A01AA" w:rsidRPr="009A01AA" w:rsidRDefault="009A01AA" w:rsidP="009A01AA">
      <w:pPr>
        <w:pStyle w:val="NormalWeb"/>
        <w:spacing w:before="0" w:beforeAutospacing="0" w:after="0" w:afterAutospacing="0"/>
        <w:jc w:val="both"/>
      </w:pPr>
      <w:r>
        <w:t>---------- Use Case template ----------</w:t>
      </w:r>
    </w:p>
    <w:p w14:paraId="1E0D94CD" w14:textId="27174337" w:rsidR="00ED6386" w:rsidRPr="00ED6386" w:rsidRDefault="00ED6386" w:rsidP="00ED6386">
      <w:pPr>
        <w:spacing w:before="240" w:after="240"/>
        <w:jc w:val="both"/>
        <w:rPr>
          <w:rFonts w:ascii="Arial" w:hAnsi="Arial"/>
          <w:iCs/>
          <w:sz w:val="32"/>
          <w:lang w:eastAsia="x-none"/>
        </w:rPr>
      </w:pPr>
      <w:r w:rsidRPr="00ED6386">
        <w:rPr>
          <w:rFonts w:ascii="Arial" w:hAnsi="Arial"/>
          <w:sz w:val="32"/>
          <w:lang w:eastAsia="x-none"/>
        </w:rPr>
        <w:t>x.1</w:t>
      </w:r>
      <w:bookmarkStart w:id="1" w:name="_Hlk180673405"/>
      <w:r w:rsidRPr="00ED6386">
        <w:rPr>
          <w:rFonts w:ascii="Arial" w:hAnsi="Arial"/>
          <w:sz w:val="32"/>
          <w:lang w:eastAsia="x-none"/>
        </w:rPr>
        <w:tab/>
        <w:t>Use case o</w:t>
      </w:r>
      <w:bookmarkEnd w:id="1"/>
      <w:r w:rsidRPr="00ED6386">
        <w:rPr>
          <w:rFonts w:ascii="Arial" w:hAnsi="Arial"/>
          <w:sz w:val="32"/>
          <w:lang w:eastAsia="x-none"/>
        </w:rPr>
        <w:t xml:space="preserve">n supporting </w:t>
      </w:r>
      <w:r w:rsidRPr="00AF36E0">
        <w:rPr>
          <w:rFonts w:ascii="Arial" w:hAnsi="Arial"/>
          <w:sz w:val="32"/>
          <w:lang w:eastAsia="x-none"/>
        </w:rPr>
        <w:t>energy control support on slice level</w:t>
      </w:r>
    </w:p>
    <w:p w14:paraId="0F753E5C" w14:textId="35F87F01" w:rsidR="00ED6386" w:rsidRPr="00ED6386" w:rsidRDefault="00ED6386" w:rsidP="00ED6386">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 w:name="_Toc355779204"/>
      <w:bookmarkStart w:id="3" w:name="_Toc354586742"/>
      <w:bookmarkStart w:id="4" w:name="_Toc354590101"/>
      <w:bookmarkEnd w:id="2"/>
      <w:bookmarkEnd w:id="3"/>
      <w:bookmarkEnd w:id="4"/>
      <w:r w:rsidRPr="00ED6386">
        <w:rPr>
          <w:rFonts w:ascii="Arial" w:hAnsi="Arial"/>
          <w:sz w:val="28"/>
          <w:lang w:eastAsia="x-none"/>
        </w:rPr>
        <w:t>x.1.1</w:t>
      </w:r>
      <w:r w:rsidRPr="00ED6386">
        <w:rPr>
          <w:rFonts w:ascii="Arial" w:hAnsi="Arial"/>
          <w:sz w:val="28"/>
          <w:lang w:eastAsia="x-none"/>
        </w:rPr>
        <w:tab/>
        <w:t>Description</w:t>
      </w:r>
    </w:p>
    <w:p w14:paraId="6D32CC0A" w14:textId="77777777" w:rsidR="00ED6386" w:rsidRDefault="00ED6386" w:rsidP="00ED6386">
      <w:pPr>
        <w:jc w:val="both"/>
        <w:rPr>
          <w:lang w:eastAsia="zh-CN"/>
        </w:rPr>
      </w:pPr>
      <w:r>
        <w:t xml:space="preserve">Mobile networks consume significant amounts of energy, contributing to greenhouse gas emissions and climate change. Prioritizing network energy efficiency is paramount. </w:t>
      </w:r>
      <w:r w:rsidRPr="00942440">
        <w:t xml:space="preserve">Recent ongoing work in 3GPP underlines energy </w:t>
      </w:r>
      <w:r w:rsidRPr="00D543C3">
        <w:t xml:space="preserve">awareness in mobile networks by </w:t>
      </w:r>
      <w:r w:rsidRPr="00D543C3">
        <w:rPr>
          <w:rFonts w:eastAsia="SimSun"/>
          <w:lang w:val="en-US" w:eastAsia="zh-CN"/>
        </w:rPr>
        <w:t>monitoring</w:t>
      </w:r>
      <w:r w:rsidRPr="00D543C3">
        <w:rPr>
          <w:lang w:val="en-US"/>
        </w:rPr>
        <w:t xml:space="preserve"> </w:t>
      </w:r>
      <w:r w:rsidRPr="00D543C3">
        <w:t>energy consumption and</w:t>
      </w:r>
      <w:r w:rsidRPr="00D543C3">
        <w:rPr>
          <w:lang w:eastAsia="zh-CN"/>
        </w:rPr>
        <w:t xml:space="preserve"> supporting the collection of charging information </w:t>
      </w:r>
      <w:r>
        <w:t>on various granularities, one of which is per network slice.</w:t>
      </w:r>
      <w:r w:rsidRPr="00D543C3">
        <w:rPr>
          <w:lang w:eastAsia="zh-CN"/>
        </w:rPr>
        <w:t xml:space="preserve"> </w:t>
      </w:r>
      <w:r w:rsidRPr="00D543C3">
        <w:t xml:space="preserve">Such monitoring provides valuable information for optimizing network operations and minimizing expenses. Efficient utilization of this information has the potential to make significantly more energy and cost-sensitive decisions. This allows for an efficient strategic approach to </w:t>
      </w:r>
      <w:r>
        <w:t xml:space="preserve">network </w:t>
      </w:r>
      <w:r w:rsidRPr="00D543C3">
        <w:t>resource allocation and ultimately leads to substantial savings and sustainability.</w:t>
      </w:r>
    </w:p>
    <w:p w14:paraId="50CA838F" w14:textId="784E0635" w:rsidR="00ED6386" w:rsidRDefault="00ED6386" w:rsidP="00ED6386">
      <w:pPr>
        <w:jc w:val="both"/>
      </w:pPr>
      <w:r>
        <w:t>This use case will describe a scenario in which upon request the mobile network operator (MNO) deploys private slice(s) for 3</w:t>
      </w:r>
      <w:r w:rsidRPr="000D0AE7">
        <w:rPr>
          <w:vertAlign w:val="superscript"/>
        </w:rPr>
        <w:t>rd</w:t>
      </w:r>
      <w:r>
        <w:t xml:space="preserve"> party to consume services. In this scenario, the 3</w:t>
      </w:r>
      <w:r>
        <w:rPr>
          <w:vertAlign w:val="superscript"/>
        </w:rPr>
        <w:t>rd</w:t>
      </w:r>
      <w:r>
        <w:t xml:space="preserve"> party (service consumer) for example, an Industry, Institute, small-scale business, or start-up </w:t>
      </w:r>
      <w:r w:rsidR="003E2126">
        <w:t>desires</w:t>
      </w:r>
      <w:r>
        <w:t xml:space="preserve"> to curtail its expenditures associated with its private slice services. Hence, the 3</w:t>
      </w:r>
      <w:r w:rsidRPr="00005CE9">
        <w:rPr>
          <w:vertAlign w:val="superscript"/>
        </w:rPr>
        <w:t>rd</w:t>
      </w:r>
      <w:r>
        <w:t xml:space="preserve"> party is concerned about the access-related energy use of its private slice</w:t>
      </w:r>
      <w:r>
        <w:rPr>
          <w:lang w:eastAsia="zh-CN"/>
        </w:rPr>
        <w:t xml:space="preserve">. </w:t>
      </w:r>
      <w:r>
        <w:t>This use case demonstrates by providing the 3</w:t>
      </w:r>
      <w:r w:rsidRPr="00B520E3">
        <w:rPr>
          <w:vertAlign w:val="superscript"/>
        </w:rPr>
        <w:t>rd</w:t>
      </w:r>
      <w:r>
        <w:t xml:space="preserve"> party the ability: to define an upper bound on the aggregate quantity of energy consumption for its private slice(s); to request means to limit the energy consumption of its private slice(s), the 6G supports sustainability goals.   </w:t>
      </w:r>
    </w:p>
    <w:p w14:paraId="0425DC65" w14:textId="77777777" w:rsidR="00ED6386" w:rsidRPr="000D6532" w:rsidRDefault="00ED6386" w:rsidP="00ED6386">
      <w:pPr>
        <w:pStyle w:val="Heading3"/>
        <w:rPr>
          <w:lang w:val="en-GB"/>
        </w:rPr>
      </w:pPr>
      <w:r w:rsidRPr="000D6532">
        <w:rPr>
          <w:lang w:val="en-GB"/>
        </w:rPr>
        <w:t>x.1.2</w:t>
      </w:r>
      <w:r w:rsidRPr="000D6532">
        <w:rPr>
          <w:lang w:val="en-GB"/>
        </w:rPr>
        <w:tab/>
        <w:t>Pre-conditions</w:t>
      </w:r>
    </w:p>
    <w:p w14:paraId="3B84C132" w14:textId="77777777" w:rsidR="00ED6386" w:rsidRDefault="00ED6386" w:rsidP="00ED6386">
      <w:pPr>
        <w:jc w:val="both"/>
      </w:pPr>
      <w:bookmarkStart w:id="5" w:name="_Toc355779206"/>
      <w:bookmarkStart w:id="6" w:name="_Toc354586744"/>
      <w:bookmarkStart w:id="7" w:name="_Toc354590103"/>
      <w:bookmarkEnd w:id="5"/>
      <w:bookmarkEnd w:id="6"/>
      <w:bookmarkEnd w:id="7"/>
      <w:r w:rsidRPr="009A1D8E">
        <w:t xml:space="preserve">The </w:t>
      </w:r>
      <w:r>
        <w:t>6G system of MNO (</w:t>
      </w:r>
      <w:r w:rsidRPr="009A1D8E">
        <w:t>service provider</w:t>
      </w:r>
      <w:r>
        <w:t>)</w:t>
      </w:r>
      <w:r w:rsidRPr="009A1D8E">
        <w:t xml:space="preserve"> supports energy information exposure to 3</w:t>
      </w:r>
      <w:r w:rsidRPr="00AC1015">
        <w:rPr>
          <w:vertAlign w:val="superscript"/>
        </w:rPr>
        <w:t>rd</w:t>
      </w:r>
      <w:r w:rsidRPr="009A1D8E">
        <w:t xml:space="preserve"> parties</w:t>
      </w:r>
      <w:r>
        <w:t xml:space="preserve"> </w:t>
      </w:r>
      <w:r w:rsidRPr="00424497">
        <w:t>for their private slices</w:t>
      </w:r>
      <w:r w:rsidRPr="009A1D8E">
        <w:t xml:space="preserve"> based on </w:t>
      </w:r>
      <w:r>
        <w:t xml:space="preserve">the </w:t>
      </w:r>
      <w:r w:rsidRPr="009A1D8E">
        <w:t>agreement</w:t>
      </w:r>
      <w:r>
        <w:t>.</w:t>
      </w:r>
    </w:p>
    <w:p w14:paraId="6EF45EF9" w14:textId="77777777" w:rsidR="00ED6386" w:rsidRPr="000D6532" w:rsidRDefault="00ED6386" w:rsidP="00ED6386">
      <w:pPr>
        <w:pStyle w:val="Heading3"/>
        <w:rPr>
          <w:lang w:val="en-GB"/>
        </w:rPr>
      </w:pPr>
      <w:r w:rsidRPr="000D6532">
        <w:rPr>
          <w:lang w:val="en-GB"/>
        </w:rPr>
        <w:t>x.1.3</w:t>
      </w:r>
      <w:r w:rsidRPr="000D6532">
        <w:rPr>
          <w:lang w:val="en-GB"/>
        </w:rPr>
        <w:tab/>
        <w:t>Service Flows</w:t>
      </w:r>
    </w:p>
    <w:p w14:paraId="2FEC5F0F" w14:textId="77777777" w:rsidR="00ED6386" w:rsidRDefault="00ED6386" w:rsidP="00ED6386">
      <w:pPr>
        <w:jc w:val="both"/>
      </w:pPr>
      <w:r>
        <w:t xml:space="preserve">An MNO </w:t>
      </w:r>
      <w:r w:rsidRPr="000D0AE7">
        <w:t>deploys</w:t>
      </w:r>
      <w:r>
        <w:t xml:space="preserve"> a private 6G network slice for an Industry ‘A’ to support its internal services like Industrial Internet of things (IIoT), predictive maintenance, file sharing, email, cloud computing, virtual private network (VPN), security services, etc. </w:t>
      </w:r>
      <w:r>
        <w:rPr>
          <w:lang w:val="en-IN"/>
        </w:rPr>
        <w:t>Industry</w:t>
      </w:r>
      <w:r w:rsidRPr="00BD09A3">
        <w:t xml:space="preserve"> </w:t>
      </w:r>
      <w:r>
        <w:t xml:space="preserve">‘A’ is a small-scale industry and has budget limitations. Thus, it wants to reduce both the energy consumption and the charges associated with its private slice. </w:t>
      </w:r>
      <w:r>
        <w:rPr>
          <w:lang w:val="en-IN"/>
        </w:rPr>
        <w:t>Industry</w:t>
      </w:r>
      <w:r w:rsidRPr="00BD09A3">
        <w:t xml:space="preserve"> </w:t>
      </w:r>
      <w:r>
        <w:t xml:space="preserve">‘A’ decides to define a private slice energy credit control limit that sets an upper bound on the </w:t>
      </w:r>
      <w:r w:rsidRPr="00D32F76">
        <w:t xml:space="preserve">aggregate quantity of energy consumption </w:t>
      </w:r>
      <w:r>
        <w:t xml:space="preserve">of its private slice. When this threshold is exceeded, the operator exposes this event to Industry ‘A’. Industry ‘A’ asks the MNO to use gating and preemption to manage service access and prioritization. </w:t>
      </w:r>
    </w:p>
    <w:p w14:paraId="1A078BCF" w14:textId="5F2F1C95" w:rsidR="00ED6386" w:rsidRPr="008E495E" w:rsidRDefault="00ED6386" w:rsidP="00ED6386">
      <w:pPr>
        <w:spacing w:after="0"/>
        <w:jc w:val="center"/>
        <w:rPr>
          <w:sz w:val="24"/>
          <w:szCs w:val="24"/>
          <w:lang w:val="en-IN" w:eastAsia="en-IN"/>
        </w:rPr>
      </w:pPr>
      <w:r w:rsidRPr="00050FC6">
        <w:rPr>
          <w:noProof/>
          <w:sz w:val="24"/>
          <w:szCs w:val="24"/>
          <w:lang w:val="en-IN" w:eastAsia="en-IN"/>
        </w:rPr>
        <w:lastRenderedPageBreak/>
        <w:drawing>
          <wp:inline distT="0" distB="0" distL="0" distR="0" wp14:anchorId="70B86620" wp14:editId="6289E550">
            <wp:extent cx="5731510" cy="20148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731510" cy="2014855"/>
                    </a:xfrm>
                    <a:prstGeom prst="rect">
                      <a:avLst/>
                    </a:prstGeom>
                    <a:noFill/>
                    <a:ln>
                      <a:noFill/>
                    </a:ln>
                  </pic:spPr>
                </pic:pic>
              </a:graphicData>
            </a:graphic>
          </wp:inline>
        </w:drawing>
      </w:r>
    </w:p>
    <w:p w14:paraId="2E8B3102" w14:textId="77777777" w:rsidR="00ED6386" w:rsidRPr="008E495E" w:rsidRDefault="00ED6386" w:rsidP="00ED6386">
      <w:pPr>
        <w:jc w:val="center"/>
        <w:rPr>
          <w:b/>
          <w:bCs/>
          <w:lang w:val="en-US"/>
        </w:rPr>
      </w:pPr>
      <w:r w:rsidRPr="006158BC">
        <w:rPr>
          <w:b/>
          <w:bCs/>
          <w:lang w:val="en-US"/>
        </w:rPr>
        <w:t>Figure 1:</w:t>
      </w:r>
      <w:r>
        <w:rPr>
          <w:b/>
          <w:bCs/>
          <w:lang w:val="en-US"/>
        </w:rPr>
        <w:t xml:space="preserve"> Enforcement of energy credit limit on per slices basis for an Industry</w:t>
      </w:r>
    </w:p>
    <w:p w14:paraId="2CE3E508" w14:textId="77777777" w:rsidR="00ED6386" w:rsidRPr="000D6532" w:rsidRDefault="00ED6386" w:rsidP="00ED6386">
      <w:pPr>
        <w:pStyle w:val="Heading3"/>
        <w:rPr>
          <w:lang w:val="en-GB"/>
        </w:rPr>
      </w:pPr>
      <w:r w:rsidRPr="000D6532">
        <w:rPr>
          <w:lang w:val="en-GB"/>
        </w:rPr>
        <w:t>x.1.4</w:t>
      </w:r>
      <w:r w:rsidRPr="000D6532">
        <w:rPr>
          <w:lang w:val="en-GB"/>
        </w:rPr>
        <w:tab/>
        <w:t>Post-conditions</w:t>
      </w:r>
    </w:p>
    <w:p w14:paraId="3DD62C70" w14:textId="77777777" w:rsidR="00ED6386" w:rsidRPr="008A4BC7" w:rsidRDefault="00ED6386" w:rsidP="00ED6386">
      <w:pPr>
        <w:jc w:val="both"/>
        <w:rPr>
          <w:rFonts w:eastAsia="Calibri"/>
        </w:rPr>
      </w:pPr>
      <w:r w:rsidRPr="00DD4DB5">
        <w:t>The 3</w:t>
      </w:r>
      <w:r w:rsidRPr="00DD4DB5">
        <w:rPr>
          <w:vertAlign w:val="superscript"/>
        </w:rPr>
        <w:t>rd</w:t>
      </w:r>
      <w:r w:rsidRPr="00DD4DB5">
        <w:t xml:space="preserve"> party is </w:t>
      </w:r>
      <w:r>
        <w:t xml:space="preserve">able to perform private slice energy credit control </w:t>
      </w:r>
      <w:r>
        <w:rPr>
          <w:rFonts w:eastAsia="Calibri"/>
        </w:rPr>
        <w:t xml:space="preserve">and reduce its operational cost. </w:t>
      </w:r>
    </w:p>
    <w:p w14:paraId="59987E18" w14:textId="6222E881" w:rsidR="00ED6386" w:rsidRPr="00870060" w:rsidRDefault="00ED6386" w:rsidP="00AF36E0">
      <w:pPr>
        <w:jc w:val="both"/>
        <w:rPr>
          <w:lang w:val="en-US" w:eastAsia="zh-CN"/>
        </w:rPr>
      </w:pPr>
      <w:r w:rsidRPr="00987F98">
        <w:rPr>
          <w:rFonts w:ascii="Arial" w:hAnsi="Arial"/>
          <w:sz w:val="28"/>
          <w:lang w:eastAsia="x-none"/>
        </w:rPr>
        <w:t>x.1.5</w:t>
      </w:r>
      <w:r w:rsidRPr="00987F98">
        <w:rPr>
          <w:rFonts w:ascii="Arial" w:hAnsi="Arial"/>
          <w:sz w:val="28"/>
          <w:lang w:eastAsia="x-none"/>
        </w:rPr>
        <w:tab/>
        <w:t>Existing features partly or fully covering the use case functionalit</w:t>
      </w:r>
      <w:r>
        <w:rPr>
          <w:rFonts w:ascii="Arial" w:hAnsi="Arial"/>
          <w:sz w:val="28"/>
          <w:lang w:eastAsia="x-none"/>
        </w:rPr>
        <w:t>y</w:t>
      </w:r>
      <w:r w:rsidRPr="00870060">
        <w:rPr>
          <w:lang w:val="en-US" w:eastAsia="zh-CN"/>
        </w:rPr>
        <w:t>Subject to operator's policy, the 5G network shall support energy consumption monitoring at per network slice and per subscriber granularity.</w:t>
      </w:r>
      <w:r w:rsidR="00ED259A">
        <w:rPr>
          <w:lang w:val="en-US" w:eastAsia="zh-CN"/>
        </w:rPr>
        <w:t xml:space="preserve"> </w:t>
      </w:r>
      <w:r w:rsidR="00ED259A">
        <w:rPr>
          <w:lang w:eastAsia="zh-CN"/>
        </w:rPr>
        <w:t>(TS 22.261[14] Clause 6.15a</w:t>
      </w:r>
      <w:r w:rsidR="006C547C">
        <w:rPr>
          <w:lang w:eastAsia="zh-CN"/>
        </w:rPr>
        <w:t>.4.2</w:t>
      </w:r>
      <w:r w:rsidR="00ED259A">
        <w:rPr>
          <w:lang w:eastAsia="zh-CN"/>
        </w:rPr>
        <w:t>)</w:t>
      </w:r>
    </w:p>
    <w:p w14:paraId="4A2A497E" w14:textId="77777777" w:rsidR="00ED6386" w:rsidRPr="00870060" w:rsidRDefault="00ED6386" w:rsidP="00AF36E0">
      <w:pPr>
        <w:pStyle w:val="NO"/>
        <w:jc w:val="both"/>
        <w:rPr>
          <w:lang w:val="en-US"/>
        </w:rPr>
      </w:pPr>
      <w:r w:rsidRPr="00870060">
        <w:t xml:space="preserve">NOTE </w:t>
      </w:r>
      <w:r w:rsidRPr="00870060">
        <w:rPr>
          <w:rFonts w:eastAsia="SimSun"/>
          <w:lang w:val="en-US" w:eastAsia="zh-CN"/>
        </w:rPr>
        <w:t>1</w:t>
      </w:r>
      <w:r w:rsidRPr="00870060">
        <w:t>:</w:t>
      </w:r>
      <w:r>
        <w:t xml:space="preserve"> </w:t>
      </w:r>
      <w:r w:rsidRPr="00870060">
        <w:t>Energy consumption monitoring as described in the preceding requirement is done by means of averaging or applying a statistical model. The requirement does not imply that some form of 'real time' monitoring is required.</w:t>
      </w:r>
      <w:r w:rsidRPr="00870060">
        <w:rPr>
          <w:rFonts w:hint="eastAsia"/>
          <w:lang w:val="en-US" w:eastAsia="zh-CN"/>
        </w:rPr>
        <w:t xml:space="preserve"> </w:t>
      </w:r>
      <w:r w:rsidRPr="00870060">
        <w:t xml:space="preserve">The granularity of the subscription policies can either apply to the subscriber (all services), or to particular services. </w:t>
      </w:r>
    </w:p>
    <w:p w14:paraId="53523A64" w14:textId="78802934" w:rsidR="00ED6386" w:rsidRPr="00870060" w:rsidRDefault="00ED6386" w:rsidP="00AF36E0">
      <w:pPr>
        <w:jc w:val="both"/>
        <w:rPr>
          <w:lang w:val="en-US" w:eastAsia="zh-CN"/>
        </w:rPr>
      </w:pPr>
      <w:bookmarkStart w:id="8" w:name="_Hlk189321542"/>
      <w:r w:rsidRPr="00870060">
        <w:t>Subject to operator’s policy and agreement with 3</w:t>
      </w:r>
      <w:r w:rsidRPr="00870060">
        <w:rPr>
          <w:vertAlign w:val="superscript"/>
        </w:rPr>
        <w:t>rd</w:t>
      </w:r>
      <w:r w:rsidRPr="00870060">
        <w:t xml:space="preserve"> party, the 5G system shall </w:t>
      </w:r>
      <w:bookmarkEnd w:id="8"/>
      <w:r w:rsidRPr="00870060">
        <w:t xml:space="preserve">be able to </w:t>
      </w:r>
      <w:r w:rsidRPr="00870060">
        <w:rPr>
          <w:rFonts w:eastAsia="SimSun" w:hint="eastAsia"/>
          <w:lang w:val="en-US" w:eastAsia="zh-CN"/>
        </w:rPr>
        <w:t>monitor</w:t>
      </w:r>
      <w:r w:rsidRPr="00870060">
        <w:t xml:space="preserve"> energy consumption </w:t>
      </w:r>
      <w:r w:rsidRPr="00870060">
        <w:rPr>
          <w:rFonts w:eastAsia="SimSun" w:hint="eastAsia"/>
          <w:lang w:val="en-US" w:eastAsia="zh-CN"/>
        </w:rPr>
        <w:t>for</w:t>
      </w:r>
      <w:r w:rsidRPr="00870060">
        <w:t xml:space="preserve"> serving this 3</w:t>
      </w:r>
      <w:r w:rsidRPr="00870060">
        <w:rPr>
          <w:vertAlign w:val="superscript"/>
        </w:rPr>
        <w:t>rd</w:t>
      </w:r>
      <w:r w:rsidRPr="00870060">
        <w:t xml:space="preserve"> party.</w:t>
      </w:r>
      <w:r w:rsidR="00ED259A">
        <w:t xml:space="preserve"> </w:t>
      </w:r>
      <w:r w:rsidR="00ED259A">
        <w:rPr>
          <w:lang w:eastAsia="zh-CN"/>
        </w:rPr>
        <w:t>(TS 22.261[14] Clause 6.15a</w:t>
      </w:r>
      <w:r w:rsidR="006C547C">
        <w:rPr>
          <w:lang w:eastAsia="zh-CN"/>
        </w:rPr>
        <w:t>.4.2</w:t>
      </w:r>
      <w:r w:rsidR="00ED259A">
        <w:rPr>
          <w:lang w:eastAsia="zh-CN"/>
        </w:rPr>
        <w:t>)</w:t>
      </w:r>
    </w:p>
    <w:p w14:paraId="14970372" w14:textId="77777777" w:rsidR="00ED6386" w:rsidRPr="00870060" w:rsidRDefault="00ED6386" w:rsidP="00AF36E0">
      <w:pPr>
        <w:pStyle w:val="NO"/>
        <w:jc w:val="both"/>
        <w:rPr>
          <w:lang w:val="en-US"/>
        </w:rPr>
      </w:pPr>
      <w:r w:rsidRPr="00870060">
        <w:rPr>
          <w:rFonts w:hint="eastAsia"/>
          <w:lang w:val="en-US"/>
        </w:rPr>
        <w:t>NOTE</w:t>
      </w:r>
      <w:r w:rsidRPr="00870060">
        <w:rPr>
          <w:rFonts w:eastAsia="SimSun"/>
          <w:lang w:val="en-US" w:eastAsia="zh-CN"/>
        </w:rPr>
        <w:t xml:space="preserve"> 2</w:t>
      </w:r>
      <w:r w:rsidRPr="00870060">
        <w:rPr>
          <w:rFonts w:hint="eastAsia"/>
          <w:lang w:val="en-US"/>
        </w:rPr>
        <w:t xml:space="preserve">: The granularity of energy consumption measurement could vary according to different situations, for example, when several services share a same network slice, etc. </w:t>
      </w:r>
    </w:p>
    <w:p w14:paraId="006BDC39" w14:textId="77777777" w:rsidR="00ED6386" w:rsidRPr="00870060" w:rsidRDefault="00ED6386" w:rsidP="00AF36E0">
      <w:pPr>
        <w:pStyle w:val="NO"/>
        <w:jc w:val="both"/>
        <w:rPr>
          <w:lang w:val="en-US"/>
        </w:rPr>
      </w:pPr>
      <w:r w:rsidRPr="00870060">
        <w:rPr>
          <w:rFonts w:hint="eastAsia"/>
          <w:lang w:val="en-US"/>
        </w:rPr>
        <w:t xml:space="preserve">NOTE </w:t>
      </w:r>
      <w:r w:rsidRPr="00870060">
        <w:rPr>
          <w:rFonts w:eastAsia="SimSun"/>
          <w:lang w:val="en-US" w:eastAsia="zh-CN"/>
        </w:rPr>
        <w:t>3</w:t>
      </w:r>
      <w:r w:rsidRPr="00870060">
        <w:rPr>
          <w:rFonts w:hint="eastAsia"/>
          <w:lang w:val="en-US"/>
        </w:rPr>
        <w:t>: The energy consumption information can be related to the network resources of network slice, NPNs, etc.</w:t>
      </w:r>
    </w:p>
    <w:p w14:paraId="44EC25D6" w14:textId="5BA26B4F" w:rsidR="00ED6386" w:rsidRPr="00870060" w:rsidRDefault="00ED6386" w:rsidP="00AF36E0">
      <w:pPr>
        <w:jc w:val="both"/>
        <w:rPr>
          <w:lang w:eastAsia="zh-CN"/>
        </w:rPr>
      </w:pPr>
      <w:r w:rsidRPr="00870060">
        <w:t>The 5G core network shall support collection of all charging information on either a network or a slice basis.</w:t>
      </w:r>
      <w:r w:rsidR="00ED259A">
        <w:t xml:space="preserve"> </w:t>
      </w:r>
      <w:r w:rsidR="00ED259A">
        <w:rPr>
          <w:lang w:eastAsia="zh-CN"/>
        </w:rPr>
        <w:t>(TS 22.261[14] Clause 9.1)</w:t>
      </w:r>
    </w:p>
    <w:p w14:paraId="32746640" w14:textId="2C1B13CA" w:rsidR="00ED6386" w:rsidRDefault="00ED6386" w:rsidP="00AF36E0">
      <w:pPr>
        <w:jc w:val="both"/>
        <w:rPr>
          <w:lang w:eastAsia="zh-CN"/>
        </w:rPr>
      </w:pPr>
      <w:r w:rsidRPr="00870060">
        <w:rPr>
          <w:lang w:eastAsia="zh-CN"/>
        </w:rPr>
        <w:t xml:space="preserve">The 5G core network shall support collection of charging information </w:t>
      </w:r>
      <w:bookmarkStart w:id="9" w:name="_Hlk192147849"/>
      <w:r w:rsidRPr="00870060">
        <w:rPr>
          <w:lang w:eastAsia="zh-CN"/>
        </w:rPr>
        <w:t>based on the slice that the UE accesses</w:t>
      </w:r>
      <w:bookmarkEnd w:id="9"/>
      <w:r w:rsidRPr="00870060">
        <w:rPr>
          <w:lang w:eastAsia="zh-CN"/>
        </w:rPr>
        <w:t>.</w:t>
      </w:r>
      <w:r w:rsidR="00ED259A">
        <w:rPr>
          <w:lang w:eastAsia="zh-CN"/>
        </w:rPr>
        <w:t xml:space="preserve"> (TS 22.261[14] Clause 9.1)</w:t>
      </w:r>
    </w:p>
    <w:p w14:paraId="36836C95" w14:textId="32C2D7AB" w:rsidR="00ED6386" w:rsidRPr="00B43930" w:rsidRDefault="00ED6386" w:rsidP="00ED6386">
      <w:r w:rsidRPr="00B43930">
        <w:t>Subject to operator’s policy, the 5G system shall support subscription policies that define a maximum energy credit limit for services without QoS criteria.</w:t>
      </w:r>
      <w:r w:rsidR="00ED259A">
        <w:t xml:space="preserve"> </w:t>
      </w:r>
      <w:r w:rsidR="00ED259A">
        <w:rPr>
          <w:lang w:eastAsia="zh-CN"/>
        </w:rPr>
        <w:t>(TS 22.261[14] Clause 6.15a</w:t>
      </w:r>
      <w:r w:rsidR="006C547C">
        <w:rPr>
          <w:lang w:eastAsia="zh-CN"/>
        </w:rPr>
        <w:t>.2.2</w:t>
      </w:r>
      <w:r w:rsidR="00ED259A">
        <w:rPr>
          <w:lang w:eastAsia="zh-CN"/>
        </w:rPr>
        <w:t>)</w:t>
      </w:r>
    </w:p>
    <w:p w14:paraId="6AE966F8" w14:textId="5D126CAE" w:rsidR="00ED6386" w:rsidRPr="00B43930" w:rsidRDefault="00ED6386" w:rsidP="00ED6386">
      <w:r w:rsidRPr="00B43930">
        <w:t xml:space="preserve">Subject to operator’s policy, the 5G system shall support a means to associate energy consumption </w:t>
      </w:r>
      <w:r w:rsidRPr="00B43930">
        <w:rPr>
          <w:rFonts w:eastAsia="SimSun" w:hint="eastAsia"/>
        </w:rPr>
        <w:t xml:space="preserve">information </w:t>
      </w:r>
      <w:r w:rsidRPr="00B43930">
        <w:t>with charging information based on subscription policies for services without QoS criteria.</w:t>
      </w:r>
      <w:r w:rsidR="00ED259A">
        <w:t xml:space="preserve"> </w:t>
      </w:r>
      <w:r w:rsidR="00ED259A">
        <w:rPr>
          <w:lang w:eastAsia="zh-CN"/>
        </w:rPr>
        <w:t>(TS 22.261[14] Clause 6.15a</w:t>
      </w:r>
      <w:r w:rsidR="006C547C">
        <w:rPr>
          <w:lang w:eastAsia="zh-CN"/>
        </w:rPr>
        <w:t>.2.2</w:t>
      </w:r>
      <w:r w:rsidR="00ED259A">
        <w:rPr>
          <w:lang w:eastAsia="zh-CN"/>
        </w:rPr>
        <w:t>)</w:t>
      </w:r>
    </w:p>
    <w:p w14:paraId="172025F1" w14:textId="64AB340E" w:rsidR="00ED6386" w:rsidRDefault="00ED6386" w:rsidP="00ED6386">
      <w:r w:rsidRPr="00B43930">
        <w:t xml:space="preserve">Subject to operator’s policy, the 5G system shall support a mechanism to perform energy consumption credit limit control for services without QoS criteria. </w:t>
      </w:r>
      <w:r w:rsidR="00ED259A">
        <w:rPr>
          <w:lang w:eastAsia="zh-CN"/>
        </w:rPr>
        <w:t>(TS 22.261[14] Clause 6.15a</w:t>
      </w:r>
      <w:r w:rsidR="006C547C">
        <w:rPr>
          <w:lang w:eastAsia="zh-CN"/>
        </w:rPr>
        <w:t>.2.1</w:t>
      </w:r>
      <w:r w:rsidR="00ED259A">
        <w:rPr>
          <w:lang w:eastAsia="zh-CN"/>
        </w:rPr>
        <w:t>)</w:t>
      </w:r>
    </w:p>
    <w:p w14:paraId="475C4D1E" w14:textId="77777777" w:rsidR="00ED6386" w:rsidRDefault="00ED6386" w:rsidP="00ED6386">
      <w:pPr>
        <w:pStyle w:val="NO"/>
      </w:pPr>
      <w:r>
        <w:t>NOTE 1: The result of the credit control is not specified by this requirement.</w:t>
      </w:r>
    </w:p>
    <w:p w14:paraId="3B074513" w14:textId="77777777" w:rsidR="00ED6386" w:rsidRDefault="00ED6386" w:rsidP="00ED6386">
      <w:pPr>
        <w:pStyle w:val="NO"/>
      </w:pPr>
      <w:r>
        <w:t>NOTE 2:</w:t>
      </w:r>
      <w:r>
        <w:tab/>
        <w:t xml:space="preserve">Credit control [49] compares against a credit control limit. It is assumed charging events are assigned a corresponding energy consumption and this is compared against a policy of energy credit limit. It is assumed there can be a new policy to limit energy consumption allowed. </w:t>
      </w:r>
    </w:p>
    <w:p w14:paraId="20F1C731" w14:textId="33411A89" w:rsidR="00ED6386" w:rsidRDefault="00ED6386" w:rsidP="00ED6386">
      <w:pPr>
        <w:jc w:val="both"/>
      </w:pPr>
      <w:r w:rsidRPr="00B43930">
        <w:lastRenderedPageBreak/>
        <w:t>Subject to operator’s policy, the 5G system shall support a means to define subscription policies and means to enforce the policy that define a maximum energy consumption (i.e. quantity of energy for a specified period of time) for services without QoS criteria.</w:t>
      </w:r>
      <w:r w:rsidR="00ED259A">
        <w:t xml:space="preserve"> </w:t>
      </w:r>
      <w:r w:rsidR="00ED259A">
        <w:rPr>
          <w:lang w:eastAsia="zh-CN"/>
        </w:rPr>
        <w:t>(TS 22.261[14] Clause 6.15a</w:t>
      </w:r>
      <w:r w:rsidR="006C547C">
        <w:rPr>
          <w:lang w:eastAsia="zh-CN"/>
        </w:rPr>
        <w:t>.2.2</w:t>
      </w:r>
      <w:r w:rsidR="00ED259A">
        <w:rPr>
          <w:lang w:eastAsia="zh-CN"/>
        </w:rPr>
        <w:t>)</w:t>
      </w:r>
    </w:p>
    <w:p w14:paraId="76735BBE" w14:textId="78EE457A" w:rsidR="00ED6386" w:rsidRDefault="00ED6386" w:rsidP="00ED6386">
      <w:pPr>
        <w:pStyle w:val="CommentText"/>
      </w:pPr>
      <w:r w:rsidRPr="00DA1021">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r w:rsidR="00ED259A">
        <w:t xml:space="preserve"> </w:t>
      </w:r>
      <w:r w:rsidR="00ED5C5F">
        <w:rPr>
          <w:lang w:eastAsia="zh-CN"/>
        </w:rPr>
        <w:t>(TS 22.261[14] Clause 6.15a</w:t>
      </w:r>
      <w:r w:rsidR="006C547C">
        <w:rPr>
          <w:lang w:eastAsia="zh-CN"/>
        </w:rPr>
        <w:t>.5.2</w:t>
      </w:r>
      <w:r w:rsidR="00ED5C5F">
        <w:rPr>
          <w:lang w:eastAsia="zh-CN"/>
        </w:rPr>
        <w:t>)</w:t>
      </w:r>
    </w:p>
    <w:p w14:paraId="42938A06" w14:textId="64D9B539" w:rsidR="00ED6386" w:rsidRDefault="00ED6386" w:rsidP="00ED6386">
      <w:r>
        <w:t>Based on operator</w:t>
      </w:r>
      <w:r>
        <w:rPr>
          <w:rFonts w:eastAsia="SimSun"/>
          <w:lang w:val="en-US" w:eastAsia="zh-CN"/>
        </w:rPr>
        <w:t>’</w:t>
      </w:r>
      <w:r>
        <w:rPr>
          <w:rFonts w:eastAsia="SimSun" w:hint="eastAsia"/>
          <w:lang w:val="en-US" w:eastAsia="zh-CN"/>
        </w:rPr>
        <w:t>s</w:t>
      </w:r>
      <w:r>
        <w:t xml:space="preserve"> policy and agreement</w:t>
      </w:r>
      <w:r>
        <w:rPr>
          <w:rFonts w:hint="eastAsia"/>
        </w:rPr>
        <w:t xml:space="preserve"> with 3rd party</w:t>
      </w:r>
      <w:r>
        <w:t>, the 5G system shall be able to expose</w:t>
      </w:r>
      <w:r>
        <w:rPr>
          <w:rFonts w:hint="eastAsia"/>
        </w:rPr>
        <w:t xml:space="preserve"> </w:t>
      </w:r>
      <w:r>
        <w:t xml:space="preserve">energy </w:t>
      </w:r>
      <w:r>
        <w:rPr>
          <w:rFonts w:hint="eastAsia"/>
        </w:rPr>
        <w:t>consumption</w:t>
      </w:r>
      <w:r>
        <w:t xml:space="preserve"> information</w:t>
      </w:r>
      <w:r>
        <w:rPr>
          <w:rFonts w:hint="eastAsia"/>
        </w:rPr>
        <w:t xml:space="preserve"> and prediction on energy consumption of the 5G network per</w:t>
      </w:r>
      <w:r>
        <w:t xml:space="preserve"> application</w:t>
      </w:r>
      <w:r>
        <w:rPr>
          <w:rFonts w:hint="eastAsia"/>
        </w:rPr>
        <w:t xml:space="preserve"> </w:t>
      </w:r>
      <w:r>
        <w:t>service</w:t>
      </w:r>
      <w:r>
        <w:rPr>
          <w:rFonts w:hint="eastAsia"/>
        </w:rPr>
        <w:t xml:space="preserve"> </w:t>
      </w:r>
      <w:r>
        <w:t xml:space="preserve">to the </w:t>
      </w:r>
      <w:r>
        <w:rPr>
          <w:rFonts w:hint="eastAsia"/>
        </w:rPr>
        <w:t>3rd party</w:t>
      </w:r>
      <w:r>
        <w:t>.</w:t>
      </w:r>
      <w:r w:rsidR="00ED5C5F">
        <w:t xml:space="preserve"> </w:t>
      </w:r>
      <w:r w:rsidR="00ED5C5F">
        <w:rPr>
          <w:lang w:eastAsia="zh-CN"/>
        </w:rPr>
        <w:t>(TS 22.261[14] Clause 6.15a</w:t>
      </w:r>
      <w:r w:rsidR="006C547C">
        <w:rPr>
          <w:lang w:eastAsia="zh-CN"/>
        </w:rPr>
        <w:t>.5.2</w:t>
      </w:r>
      <w:r w:rsidR="00ED5C5F">
        <w:rPr>
          <w:lang w:eastAsia="zh-CN"/>
        </w:rPr>
        <w:t>)</w:t>
      </w:r>
    </w:p>
    <w:p w14:paraId="3122E7B7" w14:textId="191EFC71" w:rsidR="00ED6386" w:rsidRDefault="00ED6386" w:rsidP="00ED6386">
      <w:pPr>
        <w:rPr>
          <w:lang w:val="en-US" w:eastAsia="zh-CN"/>
        </w:rPr>
      </w:pPr>
      <w:r>
        <w:rPr>
          <w:lang w:val="en-US" w:eastAsia="zh-CN"/>
        </w:rPr>
        <w:t xml:space="preserve">Subject to operator’s policy and agreement with 3rd party, the 5G system shall be able to expose </w:t>
      </w:r>
      <w:r>
        <w:rPr>
          <w:rFonts w:hint="eastAsia"/>
          <w:lang w:val="en-US" w:eastAsia="zh-CN"/>
        </w:rPr>
        <w:t xml:space="preserve">information on </w:t>
      </w:r>
      <w:r>
        <w:rPr>
          <w:lang w:val="en-US" w:eastAsia="zh-CN"/>
        </w:rPr>
        <w:t xml:space="preserve">energy consumption </w:t>
      </w:r>
      <w:r>
        <w:rPr>
          <w:rFonts w:hint="eastAsia"/>
          <w:lang w:val="en-US" w:eastAsia="zh-CN"/>
        </w:rPr>
        <w:t xml:space="preserve">for </w:t>
      </w:r>
      <w:r>
        <w:rPr>
          <w:lang w:val="en-US" w:eastAsia="zh-CN"/>
        </w:rPr>
        <w:t>serving this 3rd party.</w:t>
      </w:r>
      <w:r w:rsidR="00ED5C5F">
        <w:rPr>
          <w:lang w:val="en-US" w:eastAsia="zh-CN"/>
        </w:rPr>
        <w:t xml:space="preserve"> </w:t>
      </w:r>
      <w:r w:rsidR="00ED5C5F">
        <w:rPr>
          <w:lang w:eastAsia="zh-CN"/>
        </w:rPr>
        <w:t>(TS 22.261[14] Clause 6.15a</w:t>
      </w:r>
      <w:r w:rsidR="006C547C">
        <w:rPr>
          <w:lang w:eastAsia="zh-CN"/>
        </w:rPr>
        <w:t>.4.2</w:t>
      </w:r>
      <w:r w:rsidR="00ED5C5F">
        <w:rPr>
          <w:lang w:eastAsia="zh-CN"/>
        </w:rPr>
        <w:t>)</w:t>
      </w:r>
    </w:p>
    <w:p w14:paraId="232021A9" w14:textId="77777777" w:rsidR="00ED6386" w:rsidRDefault="00ED6386" w:rsidP="00ED6386">
      <w:pPr>
        <w:pStyle w:val="NO"/>
      </w:pPr>
      <w:r>
        <w:rPr>
          <w:rFonts w:hint="eastAsia"/>
          <w:lang w:val="en-US" w:eastAsia="zh-CN"/>
        </w:rPr>
        <w:t xml:space="preserve">NOTE </w:t>
      </w:r>
      <w:r>
        <w:rPr>
          <w:lang w:val="en-US" w:eastAsia="zh-CN"/>
        </w:rPr>
        <w:t>1</w:t>
      </w:r>
      <w:r>
        <w:rPr>
          <w:rFonts w:hint="eastAsia"/>
          <w:lang w:val="en-US" w:eastAsia="zh-CN"/>
        </w:rPr>
        <w:t>: E</w:t>
      </w:r>
      <w:r>
        <w:t>nergy consumption information</w:t>
      </w:r>
      <w:r>
        <w:rPr>
          <w:rFonts w:hint="eastAsia"/>
          <w:lang w:val="en-US" w:eastAsia="zh-CN"/>
        </w:rPr>
        <w:t xml:space="preserve"> can</w:t>
      </w:r>
      <w:r>
        <w:t> include ratio of renewable energy</w:t>
      </w:r>
      <w:r>
        <w:rPr>
          <w:rFonts w:hint="eastAsia"/>
          <w:lang w:val="en-US" w:eastAsia="zh-CN"/>
        </w:rPr>
        <w:t xml:space="preserve"> and carbon emission information when available. </w:t>
      </w:r>
      <w:r>
        <w:t>The reporting period could be set, e.g., on monthly or yearly basis</w:t>
      </w:r>
      <w:r>
        <w:rPr>
          <w:rFonts w:hint="eastAsia"/>
          <w:lang w:val="en-US" w:eastAsia="zh-CN"/>
        </w:rPr>
        <w:t xml:space="preserve"> </w:t>
      </w:r>
      <w:r>
        <w:t>and can vary based on location.</w:t>
      </w:r>
    </w:p>
    <w:p w14:paraId="22B8237E" w14:textId="505D6DC1" w:rsidR="00ED6386" w:rsidRDefault="00ED6386" w:rsidP="00ED6386">
      <w:pPr>
        <w:pStyle w:val="NO"/>
        <w:rPr>
          <w:lang w:val="en-US" w:eastAsia="zh-CN"/>
        </w:rPr>
      </w:pPr>
      <w:r>
        <w:rPr>
          <w:rFonts w:hint="eastAsia"/>
          <w:lang w:val="en-US" w:eastAsia="zh-CN"/>
        </w:rPr>
        <w:t xml:space="preserve">NOTE </w:t>
      </w:r>
      <w:r>
        <w:rPr>
          <w:lang w:val="en-US" w:eastAsia="zh-CN"/>
        </w:rPr>
        <w:t>2</w:t>
      </w:r>
      <w:r>
        <w:rPr>
          <w:rFonts w:hint="eastAsia"/>
          <w:lang w:val="en-US" w:eastAsia="zh-CN"/>
        </w:rPr>
        <w:t>: The energy consumption information can be related to the network resources of network slice, NPNs, etc.</w:t>
      </w:r>
    </w:p>
    <w:p w14:paraId="2B485E21" w14:textId="73539C8D" w:rsidR="00CC20CC" w:rsidRDefault="00CC20CC" w:rsidP="00CC20CC">
      <w:r>
        <w:rPr>
          <w:lang w:val="en-US" w:eastAsia="zh-CN"/>
        </w:rPr>
        <w:t xml:space="preserve">Gap Analysis: Existing features </w:t>
      </w:r>
      <w:r>
        <w:t>supports</w:t>
      </w:r>
      <w:r w:rsidRPr="00D543C3">
        <w:t xml:space="preserve"> </w:t>
      </w:r>
      <w:r w:rsidRPr="00D543C3">
        <w:rPr>
          <w:rFonts w:eastAsia="SimSun"/>
          <w:lang w:val="en-US" w:eastAsia="zh-CN"/>
        </w:rPr>
        <w:t>monitoring</w:t>
      </w:r>
      <w:r w:rsidRPr="00D543C3">
        <w:rPr>
          <w:lang w:val="en-US"/>
        </w:rPr>
        <w:t xml:space="preserve"> </w:t>
      </w:r>
      <w:r>
        <w:rPr>
          <w:lang w:val="en-US"/>
        </w:rPr>
        <w:t xml:space="preserve">of </w:t>
      </w:r>
      <w:r w:rsidRPr="00D543C3">
        <w:t>energy consumption and</w:t>
      </w:r>
      <w:r w:rsidRPr="00D543C3">
        <w:rPr>
          <w:lang w:eastAsia="zh-CN"/>
        </w:rPr>
        <w:t xml:space="preserve"> collection of charging information </w:t>
      </w:r>
      <w:r>
        <w:t xml:space="preserve">at per network slice granularity, and </w:t>
      </w:r>
      <w:r w:rsidRPr="00B43930">
        <w:t>subscription policies that define a maximum energy credit limit for services</w:t>
      </w:r>
      <w:r>
        <w:t>. However, support for policies that define a maximum slice energy credit limit is missing in existing features.</w:t>
      </w:r>
    </w:p>
    <w:p w14:paraId="0D365D1D" w14:textId="77777777" w:rsidR="00ED6386" w:rsidRPr="00987F98" w:rsidRDefault="00ED6386" w:rsidP="00ED6386">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987F98">
        <w:rPr>
          <w:rFonts w:ascii="Arial" w:hAnsi="Arial"/>
          <w:sz w:val="28"/>
          <w:lang w:eastAsia="x-none"/>
        </w:rPr>
        <w:t>x.1.6</w:t>
      </w:r>
      <w:r w:rsidRPr="00987F98">
        <w:rPr>
          <w:rFonts w:ascii="Arial" w:hAnsi="Arial"/>
          <w:sz w:val="28"/>
          <w:lang w:eastAsia="x-none"/>
        </w:rPr>
        <w:tab/>
        <w:t>Potential New Requirements needed to support the use case</w:t>
      </w:r>
    </w:p>
    <w:p w14:paraId="799EC7D2" w14:textId="77777777" w:rsidR="00ED6386" w:rsidRDefault="00ED6386" w:rsidP="00ED6386">
      <w:r w:rsidRPr="00987F98">
        <w:t xml:space="preserve">[PR x.6-001] </w:t>
      </w:r>
      <w:r w:rsidRPr="00870060">
        <w:t>Subject to operator’s policy and agreement with 3</w:t>
      </w:r>
      <w:r w:rsidRPr="00870060">
        <w:rPr>
          <w:vertAlign w:val="superscript"/>
        </w:rPr>
        <w:t>rd</w:t>
      </w:r>
      <w:r w:rsidRPr="00870060">
        <w:t xml:space="preserve"> party, the </w:t>
      </w:r>
      <w:r>
        <w:t>6</w:t>
      </w:r>
      <w:r w:rsidRPr="00870060">
        <w:t xml:space="preserve">G system shall </w:t>
      </w:r>
      <w:r>
        <w:t>support policies that define a maximum slice energy credit limit.</w:t>
      </w:r>
    </w:p>
    <w:p w14:paraId="5B64BC86" w14:textId="77777777" w:rsidR="00ED6386" w:rsidRPr="00424497" w:rsidRDefault="00ED6386" w:rsidP="00ED6386">
      <w:pPr>
        <w:rPr>
          <w:lang w:eastAsia="en-GB"/>
        </w:rPr>
      </w:pPr>
      <w:r>
        <w:t xml:space="preserve">     NOTE 1: The definition of slice energy credit limit is FFS. </w:t>
      </w:r>
    </w:p>
    <w:p w14:paraId="42A1369F" w14:textId="77777777" w:rsidR="00ED6386" w:rsidRDefault="00ED6386" w:rsidP="00ED6386">
      <w:pPr>
        <w:jc w:val="both"/>
      </w:pPr>
      <w:r w:rsidRPr="00987F98">
        <w:t>[PR x.6-00</w:t>
      </w:r>
      <w:r>
        <w:t>2</w:t>
      </w:r>
      <w:r w:rsidRPr="00987F98">
        <w:t xml:space="preserve">] </w:t>
      </w:r>
      <w:r w:rsidRPr="00870060">
        <w:t>Subject to operator’s policy and agreement with 3</w:t>
      </w:r>
      <w:r w:rsidRPr="00870060">
        <w:rPr>
          <w:vertAlign w:val="superscript"/>
        </w:rPr>
        <w:t>rd</w:t>
      </w:r>
      <w:r w:rsidRPr="00870060">
        <w:t xml:space="preserve"> party, the </w:t>
      </w:r>
      <w:r>
        <w:t>6</w:t>
      </w:r>
      <w:r w:rsidRPr="00870060">
        <w:t>G system shall</w:t>
      </w:r>
      <w:r>
        <w:t xml:space="preserve"> </w:t>
      </w:r>
      <w:r w:rsidRPr="009C31D9">
        <w:t xml:space="preserve">support a mechanism to </w:t>
      </w:r>
      <w:r>
        <w:t>perform slice energy credit limit control.</w:t>
      </w:r>
    </w:p>
    <w:p w14:paraId="3DB958B7" w14:textId="703E926C" w:rsidR="00ED6386" w:rsidRDefault="00ED6386" w:rsidP="00ED6386">
      <w:pPr>
        <w:pStyle w:val="NO"/>
      </w:pPr>
      <w:r>
        <w:t xml:space="preserve">NOTE </w:t>
      </w:r>
      <w:r w:rsidR="00ED259A">
        <w:t>2</w:t>
      </w:r>
      <w:r>
        <w:t>: The result of the credit control is not specified by this requirement.</w:t>
      </w:r>
    </w:p>
    <w:p w14:paraId="0A8D2DFD" w14:textId="77777777" w:rsidR="00ED6386" w:rsidRDefault="00ED6386" w:rsidP="00ED6386">
      <w:pPr>
        <w:jc w:val="both"/>
      </w:pPr>
    </w:p>
    <w:p w14:paraId="6529FDA7" w14:textId="77777777" w:rsidR="00ED6386" w:rsidRPr="000D6532" w:rsidRDefault="00ED6386" w:rsidP="00ED6386">
      <w:pPr>
        <w:jc w:val="both"/>
        <w:rPr>
          <w:rFonts w:eastAsia="Calibri"/>
        </w:rPr>
      </w:pPr>
    </w:p>
    <w:p w14:paraId="0D3CE489" w14:textId="77777777" w:rsidR="00ED6386" w:rsidRDefault="00ED6386"/>
    <w:sectPr w:rsidR="00ED638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386"/>
    <w:rsid w:val="0003750A"/>
    <w:rsid w:val="00100BC2"/>
    <w:rsid w:val="001768A6"/>
    <w:rsid w:val="002364B4"/>
    <w:rsid w:val="003E2126"/>
    <w:rsid w:val="00606A37"/>
    <w:rsid w:val="006C547C"/>
    <w:rsid w:val="009A01AA"/>
    <w:rsid w:val="00A00C86"/>
    <w:rsid w:val="00A2338F"/>
    <w:rsid w:val="00AF36E0"/>
    <w:rsid w:val="00B84B86"/>
    <w:rsid w:val="00CC20CC"/>
    <w:rsid w:val="00ED259A"/>
    <w:rsid w:val="00ED5C5F"/>
    <w:rsid w:val="00ED638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C2A1E6"/>
  <w15:chartTrackingRefBased/>
  <w15:docId w15:val="{28BA2A0F-8204-41BC-BA17-E25286BB8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6386"/>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ED638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nhideWhenUsed/>
    <w:qFormat/>
    <w:rsid w:val="00ED6386"/>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qFormat/>
    <w:rsid w:val="00ED6386"/>
    <w:rPr>
      <w:rFonts w:ascii="Arial" w:eastAsia="Times New Roman" w:hAnsi="Arial" w:cs="Times New Roman"/>
      <w:sz w:val="28"/>
      <w:szCs w:val="20"/>
      <w:lang w:val="x-none" w:eastAsia="x-none"/>
    </w:rPr>
  </w:style>
  <w:style w:type="paragraph" w:customStyle="1" w:styleId="NO">
    <w:name w:val="NO"/>
    <w:basedOn w:val="Normal"/>
    <w:link w:val="NOChar"/>
    <w:qFormat/>
    <w:rsid w:val="00ED6386"/>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ED6386"/>
    <w:rPr>
      <w:rFonts w:ascii="Times New Roman" w:eastAsia="Times New Roman" w:hAnsi="Times New Roman" w:cs="Times New Roman"/>
      <w:sz w:val="20"/>
      <w:szCs w:val="20"/>
      <w:lang w:val="en-GB" w:eastAsia="en-GB"/>
    </w:rPr>
  </w:style>
  <w:style w:type="character" w:styleId="CommentReference">
    <w:name w:val="annotation reference"/>
    <w:rsid w:val="00ED6386"/>
    <w:rPr>
      <w:sz w:val="16"/>
      <w:szCs w:val="16"/>
    </w:rPr>
  </w:style>
  <w:style w:type="paragraph" w:styleId="CommentText">
    <w:name w:val="annotation text"/>
    <w:basedOn w:val="Normal"/>
    <w:link w:val="CommentTextChar"/>
    <w:rsid w:val="00ED6386"/>
  </w:style>
  <w:style w:type="character" w:customStyle="1" w:styleId="CommentTextChar">
    <w:name w:val="Comment Text Char"/>
    <w:basedOn w:val="DefaultParagraphFont"/>
    <w:link w:val="CommentText"/>
    <w:rsid w:val="00ED6386"/>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ED6386"/>
    <w:rPr>
      <w:rFonts w:asciiTheme="majorHAnsi" w:eastAsiaTheme="majorEastAsia" w:hAnsiTheme="majorHAnsi" w:cstheme="majorBidi"/>
      <w:color w:val="2F5496" w:themeColor="accent1" w:themeShade="BF"/>
      <w:sz w:val="26"/>
      <w:szCs w:val="26"/>
      <w:lang w:val="en-GB"/>
    </w:rPr>
  </w:style>
  <w:style w:type="paragraph" w:styleId="NormalWeb">
    <w:name w:val="Normal (Web)"/>
    <w:basedOn w:val="Normal"/>
    <w:uiPriority w:val="99"/>
    <w:unhideWhenUsed/>
    <w:rsid w:val="009A01AA"/>
    <w:pPr>
      <w:spacing w:before="100" w:beforeAutospacing="1" w:after="100" w:afterAutospacing="1"/>
    </w:pPr>
    <w:rPr>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4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1157</Words>
  <Characters>6599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preksha shah</dc:creator>
  <cp:keywords/>
  <dc:description/>
  <cp:lastModifiedBy>preksha shah</cp:lastModifiedBy>
  <cp:revision>3</cp:revision>
  <dcterms:created xsi:type="dcterms:W3CDTF">2025-05-07T06:11:00Z</dcterms:created>
  <dcterms:modified xsi:type="dcterms:W3CDTF">2025-05-07T07:56:00Z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8e212bed-9814-41c4-8af2-d453644a49dc</vt:lpwstr>
  </property>
</Properties>
</file>